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苏州市相城区工业和信息化局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年政府信息公开工作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年度报告</w:t>
      </w: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根据《中华人民共和国政府信息公开条例》文件要求，相城区工信局遵循公正、公平、合法、便民的原则，认真做好信息公开工作。本年度报告中所列数据的统计期限自2023年1月1日起至2023年12月31日止。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相城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区工信局认真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贯彻落实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《条例》的文件精神，严格落实相城区政府关于信息公开工作的决策部署，紧紧围绕中心工作，推进信息公开，加强政策解读，优化平台建设，不断提升政府信息公开工作质量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通过相城区人民政府网门户网站主动公开对外管理服务事项信息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一是组织领导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更加健全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</w:rPr>
        <w:t>形成主要领导负总责、分管领导具体抓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</w:rPr>
        <w:t>办公室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</w:rPr>
        <w:t>扎口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</w:rPr>
        <w:t>负责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</w:rPr>
        <w:t>各科室具体落实的工作格局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</w:rPr>
        <w:t>做到人员固定，职责明确，为政府信息公开工作提供了坚强的组织保障。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同时不断研究解决文件、信息、资料公开过程中遇到的涉密、安全等问题。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二是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信息公开更加及时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对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信息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公开的范围、内容、形式、制度等作了进一步的明确。公开的时间更加及时，做到常规性工作定期公开，临时性工作随时公开，固定性工作长期公开。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三是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信息公开更加规范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。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信息发布由专人审核，专人编辑，将信息公开工作日常化、长期化</w:t>
      </w:r>
      <w:r>
        <w:rPr>
          <w:rFonts w:hint="eastAsia"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在各责任科室初审的基础上，由指定信息分管领导复核，并递交主要领导最终审核，经办公室专职审核员将政府信息公开资料提交发布，确保信息公开内容的完整、准确</w:t>
      </w:r>
      <w:r>
        <w:rPr>
          <w:rFonts w:hAnsi="仿宋_GB2312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相城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区工信局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在政府信息公开制度机制建设、提高信息公开质量等方面，取得了一定进展和成效，但也存在一些问题：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的主动性有待加强。二是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信息公开意识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还需进一步提高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三是信息公开的内容有待进一步丰富。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下一步，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相城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区工信局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将持续完善信息公开制度，全面深化发展改革领域信息公开，推动信息公开工作取得新成效。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（一）切实做好信息主动公开。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强政策文件主动公开工作，明确公开责任，严格公开时限和程序，对涉及公民、法人或其他组织切身利益，需要社会公众广泛知晓或者参与的政府信息，按照《条例》规定全面、准确、及时地向社会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（二）推进重点领域信息公开。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加强重点工作政府信息公开，结合本单位职责，重点推进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领导分工调整、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规划计划、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申报结果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等信息的公开。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（三）加强政策解读和舆情回应。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舆情收集、研判和回应联动机制，及时对社会公众关注的热点问题、群众疑惑、不实传言等做出适时回应，增进理解、扩大共识。组织协调好对突发事件信息发布，根据事件发展和工作进展动态更新，及时通报重要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本机关在办理202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年度政府信息公开申请中未收取信息处理费。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3200" w:firstLineChars="10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苏州市相城区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工业和信息化局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eastAsia="仿宋_GB2312"/>
          <w:color w:val="00000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eastAsia="仿宋_GB2312"/>
          <w:color w:val="000000"/>
          <w:spacing w:val="-4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41" w:right="1587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OWIzNTY4NzI5YjRlZTliNDkzYTNhYjQxMWZmNjMifQ=="/>
  </w:docVars>
  <w:rsids>
    <w:rsidRoot w:val="7E73017D"/>
    <w:rsid w:val="01491E09"/>
    <w:rsid w:val="01A05D98"/>
    <w:rsid w:val="06915006"/>
    <w:rsid w:val="07846919"/>
    <w:rsid w:val="096F43FE"/>
    <w:rsid w:val="0BCA064D"/>
    <w:rsid w:val="1642507E"/>
    <w:rsid w:val="19E61CEA"/>
    <w:rsid w:val="1BA129CC"/>
    <w:rsid w:val="214428D2"/>
    <w:rsid w:val="2BCF29AF"/>
    <w:rsid w:val="39F87BD9"/>
    <w:rsid w:val="415E0C56"/>
    <w:rsid w:val="41F554DA"/>
    <w:rsid w:val="44C51FA7"/>
    <w:rsid w:val="496438D9"/>
    <w:rsid w:val="4BA70393"/>
    <w:rsid w:val="4C3A7F17"/>
    <w:rsid w:val="50AD7B0F"/>
    <w:rsid w:val="529805A0"/>
    <w:rsid w:val="5B9E2042"/>
    <w:rsid w:val="5E294987"/>
    <w:rsid w:val="60F86F7C"/>
    <w:rsid w:val="7E7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1992</Words>
  <Characters>2039</Characters>
  <Lines>0</Lines>
  <Paragraphs>0</Paragraphs>
  <TotalTime>36</TotalTime>
  <ScaleCrop>false</ScaleCrop>
  <LinksUpToDate>false</LinksUpToDate>
  <CharactersWithSpaces>2074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2022-01-19T02:46:00Z</dcterms:created>
  <dc:creator>时斌华 Patrick</dc:creator>
  <cp:lastModifiedBy>时斌华 Patrick</cp:lastModifiedBy>
  <cp:lastPrinted>2022-01-20T02:58:00Z</cp:lastPrinted>
  <dcterms:modified xsi:type="dcterms:W3CDTF">2024-01-17T08:15:47Z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A1BFB5C196EF4574A1236AE62AD8B292</vt:lpwstr>
  </property>
</Properties>
</file>